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A35A" w14:textId="77777777" w:rsidR="00FE357E" w:rsidRPr="009C2CE3" w:rsidRDefault="00FE357E" w:rsidP="00FE357E">
      <w:pPr>
        <w:pStyle w:val="tabledesmatires"/>
        <w:rPr>
          <w:noProof/>
          <w:lang w:val="nl-BE"/>
        </w:rPr>
      </w:pPr>
      <w:bookmarkStart w:id="0" w:name="_GoBack"/>
      <w:bookmarkEnd w:id="0"/>
      <w:r w:rsidRPr="009C2CE3">
        <w:rPr>
          <w:noProof/>
          <w:lang w:val="nl-BE"/>
        </w:rPr>
        <w:t xml:space="preserve">INHOUDSTABEL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614"/>
        <w:gridCol w:w="1412"/>
      </w:tblGrid>
      <w:tr w:rsidR="00FE357E" w:rsidRPr="009C2CE3" w14:paraId="16AAE776" w14:textId="77777777" w:rsidTr="002C7A50">
        <w:tc>
          <w:tcPr>
            <w:tcW w:w="4218" w:type="pct"/>
            <w:shd w:val="clear" w:color="auto" w:fill="FF9900"/>
          </w:tcPr>
          <w:p w14:paraId="082B76E9" w14:textId="77777777" w:rsidR="00FE357E" w:rsidRPr="00034F8C" w:rsidRDefault="00FE357E" w:rsidP="002C7A50">
            <w:pPr>
              <w:pStyle w:val="normalgauchesansespacement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Inleiding</w:t>
            </w:r>
          </w:p>
        </w:tc>
        <w:tc>
          <w:tcPr>
            <w:tcW w:w="782" w:type="pct"/>
            <w:shd w:val="clear" w:color="auto" w:fill="FF9900"/>
            <w:vAlign w:val="bottom"/>
          </w:tcPr>
          <w:p w14:paraId="067D7980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Iinleiding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5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7D19AB17" w14:textId="77777777" w:rsidTr="002C7A50">
        <w:tc>
          <w:tcPr>
            <w:tcW w:w="4218" w:type="pct"/>
          </w:tcPr>
          <w:p w14:paraId="357E6A0B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1. Algemene doelstelling</w:t>
            </w:r>
          </w:p>
        </w:tc>
        <w:tc>
          <w:tcPr>
            <w:tcW w:w="782" w:type="pct"/>
            <w:vAlign w:val="bottom"/>
          </w:tcPr>
          <w:p w14:paraId="4DB6E91C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_Ref310245276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5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5EE72882" w14:textId="77777777" w:rsidTr="002C7A50">
        <w:tc>
          <w:tcPr>
            <w:tcW w:w="4218" w:type="pct"/>
          </w:tcPr>
          <w:p w14:paraId="5CC57BFA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2. Toepassingsgebied van de gids</w:t>
            </w:r>
          </w:p>
        </w:tc>
        <w:tc>
          <w:tcPr>
            <w:tcW w:w="782" w:type="pct"/>
            <w:vAlign w:val="bottom"/>
          </w:tcPr>
          <w:p w14:paraId="1F3211F2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6</w:t>
            </w:r>
          </w:p>
        </w:tc>
      </w:tr>
      <w:tr w:rsidR="00FE357E" w:rsidRPr="009C2CE3" w14:paraId="28F04CB5" w14:textId="77777777" w:rsidTr="002C7A50">
        <w:tc>
          <w:tcPr>
            <w:tcW w:w="4218" w:type="pct"/>
          </w:tcPr>
          <w:p w14:paraId="6509FAE3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3. De initiatiefnemers en hun representativiteit</w:t>
            </w:r>
          </w:p>
        </w:tc>
        <w:tc>
          <w:tcPr>
            <w:tcW w:w="782" w:type="pct"/>
            <w:vAlign w:val="bottom"/>
          </w:tcPr>
          <w:p w14:paraId="4AEAB360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_Ref436402198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11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47601E82" w14:textId="77777777" w:rsidTr="002C7A50">
        <w:tc>
          <w:tcPr>
            <w:tcW w:w="4218" w:type="pct"/>
          </w:tcPr>
          <w:p w14:paraId="25BB85A3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4. Inhoud en gebruik van de gids</w:t>
            </w:r>
          </w:p>
        </w:tc>
        <w:tc>
          <w:tcPr>
            <w:tcW w:w="782" w:type="pct"/>
            <w:vAlign w:val="bottom"/>
          </w:tcPr>
          <w:p w14:paraId="26027570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_Ref436402215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15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161B67A8" w14:textId="77777777" w:rsidTr="002C7A50">
        <w:tc>
          <w:tcPr>
            <w:tcW w:w="4218" w:type="pct"/>
          </w:tcPr>
          <w:p w14:paraId="4D7F2C61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5. Gebruikte middelen en methode</w:t>
            </w:r>
          </w:p>
        </w:tc>
        <w:tc>
          <w:tcPr>
            <w:tcW w:w="782" w:type="pct"/>
            <w:vAlign w:val="bottom"/>
          </w:tcPr>
          <w:p w14:paraId="22D66633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_Ref436402228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19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1D2F7EA2" w14:textId="77777777" w:rsidTr="002C7A50">
        <w:tc>
          <w:tcPr>
            <w:tcW w:w="4218" w:type="pct"/>
          </w:tcPr>
          <w:p w14:paraId="34644331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6. Verdeling en bijwerking van de gids</w:t>
            </w:r>
          </w:p>
        </w:tc>
        <w:tc>
          <w:tcPr>
            <w:tcW w:w="782" w:type="pct"/>
            <w:vAlign w:val="bottom"/>
          </w:tcPr>
          <w:p w14:paraId="05727A42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_Ref436402239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22</w:t>
            </w:r>
            <w:r>
              <w:rPr>
                <w:noProof/>
                <w:lang w:val="nl-BE"/>
              </w:rPr>
              <w:fldChar w:fldCharType="end"/>
            </w:r>
          </w:p>
          <w:p w14:paraId="13C8E615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</w:tc>
      </w:tr>
      <w:tr w:rsidR="00FE357E" w:rsidRPr="009C2CE3" w14:paraId="3B82B6CC" w14:textId="77777777" w:rsidTr="002C7A50">
        <w:tc>
          <w:tcPr>
            <w:tcW w:w="4218" w:type="pct"/>
            <w:shd w:val="clear" w:color="auto" w:fill="FF9900"/>
          </w:tcPr>
          <w:p w14:paraId="4219DFDF" w14:textId="77777777" w:rsidR="00FE357E" w:rsidRPr="00034F8C" w:rsidRDefault="00FE357E" w:rsidP="002C7A50">
            <w:pPr>
              <w:pStyle w:val="normalgauchesansespacement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Hoofdstuk 1 : Wettelijke vereisten</w:t>
            </w:r>
          </w:p>
        </w:tc>
        <w:tc>
          <w:tcPr>
            <w:tcW w:w="782" w:type="pct"/>
            <w:shd w:val="clear" w:color="auto" w:fill="FF9900"/>
            <w:vAlign w:val="bottom"/>
          </w:tcPr>
          <w:p w14:paraId="75AE51BD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_Ref436402255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23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72418E29" w14:textId="77777777" w:rsidTr="002C7A50">
        <w:tc>
          <w:tcPr>
            <w:tcW w:w="4218" w:type="pct"/>
          </w:tcPr>
          <w:p w14:paraId="20AB82C2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1. Inleiding</w:t>
            </w:r>
          </w:p>
        </w:tc>
        <w:tc>
          <w:tcPr>
            <w:tcW w:w="782" w:type="pct"/>
            <w:vAlign w:val="bottom"/>
          </w:tcPr>
          <w:p w14:paraId="6EC40D5D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_Ref436402255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23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539351B6" w14:textId="77777777" w:rsidTr="002C7A50">
        <w:tc>
          <w:tcPr>
            <w:tcW w:w="4218" w:type="pct"/>
          </w:tcPr>
          <w:p w14:paraId="57F7B1F4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2. Horizontale wetgeving</w:t>
            </w:r>
          </w:p>
        </w:tc>
        <w:tc>
          <w:tcPr>
            <w:tcW w:w="782" w:type="pct"/>
            <w:vAlign w:val="bottom"/>
          </w:tcPr>
          <w:p w14:paraId="5472CF9B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_Ref436402287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24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44FD7BEF" w14:textId="77777777" w:rsidTr="002C7A50">
        <w:tc>
          <w:tcPr>
            <w:tcW w:w="4218" w:type="pct"/>
          </w:tcPr>
          <w:p w14:paraId="55B29C3E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3. Verticale wetgeving</w:t>
            </w:r>
          </w:p>
        </w:tc>
        <w:tc>
          <w:tcPr>
            <w:tcW w:w="782" w:type="pct"/>
            <w:vAlign w:val="bottom"/>
          </w:tcPr>
          <w:p w14:paraId="4020CA4B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_Ref436402391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42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082FB0BD" w14:textId="77777777" w:rsidTr="002C7A50">
        <w:tc>
          <w:tcPr>
            <w:tcW w:w="4218" w:type="pct"/>
          </w:tcPr>
          <w:p w14:paraId="4B884DC0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</w:p>
        </w:tc>
        <w:tc>
          <w:tcPr>
            <w:tcW w:w="782" w:type="pct"/>
            <w:vAlign w:val="bottom"/>
          </w:tcPr>
          <w:p w14:paraId="471B94FE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</w:tc>
      </w:tr>
      <w:tr w:rsidR="00FE357E" w:rsidRPr="009C2CE3" w14:paraId="10784144" w14:textId="77777777" w:rsidTr="002C7A50">
        <w:tc>
          <w:tcPr>
            <w:tcW w:w="4218" w:type="pct"/>
            <w:shd w:val="clear" w:color="auto" w:fill="FF9900"/>
          </w:tcPr>
          <w:p w14:paraId="289BFBAF" w14:textId="77777777" w:rsidR="00FE357E" w:rsidRPr="00034F8C" w:rsidRDefault="00FE357E" w:rsidP="002C7A50">
            <w:pPr>
              <w:pStyle w:val="normalgauchesansespacement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Hoofstuk 2 : Het beheer van uw autocontrolesysteem</w:t>
            </w:r>
          </w:p>
        </w:tc>
        <w:tc>
          <w:tcPr>
            <w:tcW w:w="782" w:type="pct"/>
            <w:shd w:val="clear" w:color="auto" w:fill="FF9900"/>
            <w:vAlign w:val="bottom"/>
          </w:tcPr>
          <w:p w14:paraId="031324D2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hoofdstuk_twee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46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1E4C56C8" w14:textId="77777777" w:rsidTr="002C7A50">
        <w:tc>
          <w:tcPr>
            <w:tcW w:w="4218" w:type="pct"/>
          </w:tcPr>
          <w:p w14:paraId="706C914A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1. Documentbeheer</w:t>
            </w:r>
          </w:p>
        </w:tc>
        <w:tc>
          <w:tcPr>
            <w:tcW w:w="782" w:type="pct"/>
            <w:vAlign w:val="bottom"/>
          </w:tcPr>
          <w:p w14:paraId="100EAE95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Document_beheer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48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5CB5CBD5" w14:textId="77777777" w:rsidTr="002C7A50">
        <w:tc>
          <w:tcPr>
            <w:tcW w:w="4218" w:type="pct"/>
          </w:tcPr>
          <w:p w14:paraId="71AA0986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2. De verantwoordelijkheden van de directie</w:t>
            </w:r>
          </w:p>
        </w:tc>
        <w:tc>
          <w:tcPr>
            <w:tcW w:w="782" w:type="pct"/>
            <w:vAlign w:val="bottom"/>
          </w:tcPr>
          <w:p w14:paraId="233C55D7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Directieverantwoordelijkheid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54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2762807C" w14:textId="77777777" w:rsidTr="002C7A50">
        <w:tc>
          <w:tcPr>
            <w:tcW w:w="4218" w:type="pct"/>
          </w:tcPr>
          <w:p w14:paraId="45598318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3. Beheer van niet-conformiteiten</w:t>
            </w:r>
          </w:p>
        </w:tc>
        <w:tc>
          <w:tcPr>
            <w:tcW w:w="782" w:type="pct"/>
            <w:vAlign w:val="bottom"/>
          </w:tcPr>
          <w:p w14:paraId="16070BF5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Beheer_van_niet_conf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57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26669141" w14:textId="77777777" w:rsidTr="002C7A50">
        <w:tc>
          <w:tcPr>
            <w:tcW w:w="4218" w:type="pct"/>
          </w:tcPr>
          <w:p w14:paraId="08E7DDA8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4. Klachtenbehandeling</w:t>
            </w:r>
          </w:p>
        </w:tc>
        <w:tc>
          <w:tcPr>
            <w:tcW w:w="782" w:type="pct"/>
            <w:vAlign w:val="bottom"/>
          </w:tcPr>
          <w:p w14:paraId="422F29E2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Klachtenbehandeling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63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67DC28E3" w14:textId="77777777" w:rsidTr="002C7A50">
        <w:tc>
          <w:tcPr>
            <w:tcW w:w="4218" w:type="pct"/>
          </w:tcPr>
          <w:p w14:paraId="47DF2F66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5. Het uitvoeren van interne audits</w:t>
            </w:r>
          </w:p>
        </w:tc>
        <w:tc>
          <w:tcPr>
            <w:tcW w:w="782" w:type="pct"/>
            <w:vAlign w:val="bottom"/>
          </w:tcPr>
          <w:p w14:paraId="582A2C27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Interne_audits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65</w:t>
            </w:r>
            <w:r>
              <w:rPr>
                <w:noProof/>
                <w:lang w:val="nl-BE"/>
              </w:rPr>
              <w:fldChar w:fldCharType="end"/>
            </w:r>
          </w:p>
          <w:p w14:paraId="64ECB4AC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</w:tc>
      </w:tr>
      <w:tr w:rsidR="00FE357E" w:rsidRPr="009C2CE3" w14:paraId="7EBC0C2B" w14:textId="77777777" w:rsidTr="002C7A50">
        <w:tc>
          <w:tcPr>
            <w:tcW w:w="4218" w:type="pct"/>
            <w:shd w:val="clear" w:color="auto" w:fill="FF9900"/>
          </w:tcPr>
          <w:p w14:paraId="041976B8" w14:textId="77777777" w:rsidR="00FE357E" w:rsidRPr="00034F8C" w:rsidRDefault="00FE357E" w:rsidP="002C7A50">
            <w:pPr>
              <w:pStyle w:val="normalgauchesansespacement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Hoofdstuk 3 : De goede hygiënische praktijken</w:t>
            </w:r>
          </w:p>
        </w:tc>
        <w:tc>
          <w:tcPr>
            <w:tcW w:w="782" w:type="pct"/>
            <w:shd w:val="clear" w:color="auto" w:fill="FF9900"/>
            <w:vAlign w:val="bottom"/>
          </w:tcPr>
          <w:p w14:paraId="5FEC13AF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Hoofdstuk_drie_GHP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68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16830F9A" w14:textId="77777777" w:rsidTr="002C7A50">
        <w:tc>
          <w:tcPr>
            <w:tcW w:w="4218" w:type="pct"/>
          </w:tcPr>
          <w:p w14:paraId="0F2BC788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 xml:space="preserve">1. </w:t>
            </w:r>
            <w:r>
              <w:rPr>
                <w:noProof/>
                <w:lang w:val="nl-BE"/>
              </w:rPr>
              <w:t>Opbouw, o</w:t>
            </w:r>
            <w:r w:rsidRPr="00034F8C">
              <w:rPr>
                <w:noProof/>
                <w:lang w:val="nl-BE"/>
              </w:rPr>
              <w:t>ntwerp</w:t>
            </w:r>
            <w:r>
              <w:rPr>
                <w:noProof/>
                <w:lang w:val="nl-BE"/>
              </w:rPr>
              <w:t xml:space="preserve"> </w:t>
            </w:r>
            <w:r w:rsidRPr="00034F8C">
              <w:rPr>
                <w:noProof/>
                <w:lang w:val="nl-BE"/>
              </w:rPr>
              <w:t>en inrichting van de gebouwen en lokalen</w:t>
            </w:r>
          </w:p>
        </w:tc>
        <w:tc>
          <w:tcPr>
            <w:tcW w:w="782" w:type="pct"/>
            <w:vAlign w:val="bottom"/>
          </w:tcPr>
          <w:p w14:paraId="1D927444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Ontwerp_gebouwen_en_localen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70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518D5892" w14:textId="77777777" w:rsidTr="002C7A50">
        <w:tc>
          <w:tcPr>
            <w:tcW w:w="4218" w:type="pct"/>
          </w:tcPr>
          <w:p w14:paraId="3CFA3194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2. Ontwerp en installatie van apparatuur</w:t>
            </w:r>
          </w:p>
        </w:tc>
        <w:tc>
          <w:tcPr>
            <w:tcW w:w="782" w:type="pct"/>
            <w:vAlign w:val="bottom"/>
          </w:tcPr>
          <w:p w14:paraId="654CE22A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Ontwerp_van_apparatuur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81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56308407" w14:textId="77777777" w:rsidTr="002C7A50">
        <w:tc>
          <w:tcPr>
            <w:tcW w:w="4218" w:type="pct"/>
          </w:tcPr>
          <w:p w14:paraId="368BC7C9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3. Onderhoud van lokalen en apparatuur</w:t>
            </w:r>
          </w:p>
        </w:tc>
        <w:tc>
          <w:tcPr>
            <w:tcW w:w="782" w:type="pct"/>
            <w:vAlign w:val="bottom"/>
          </w:tcPr>
          <w:p w14:paraId="2B7C2F54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Onderhoud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85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116EB635" w14:textId="77777777" w:rsidTr="002C7A50">
        <w:tc>
          <w:tcPr>
            <w:tcW w:w="4218" w:type="pct"/>
          </w:tcPr>
          <w:p w14:paraId="1E45EA92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4. Waterkwaliteit</w:t>
            </w:r>
          </w:p>
        </w:tc>
        <w:tc>
          <w:tcPr>
            <w:tcW w:w="782" w:type="pct"/>
            <w:vAlign w:val="bottom"/>
          </w:tcPr>
          <w:p w14:paraId="7B449756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Waterkwaliteit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89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0591F76B" w14:textId="77777777" w:rsidTr="002C7A50">
        <w:tc>
          <w:tcPr>
            <w:tcW w:w="4218" w:type="pct"/>
          </w:tcPr>
          <w:p w14:paraId="5F50BB63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5. Ongediertebestrijding</w:t>
            </w:r>
          </w:p>
        </w:tc>
        <w:tc>
          <w:tcPr>
            <w:tcW w:w="782" w:type="pct"/>
            <w:vAlign w:val="bottom"/>
          </w:tcPr>
          <w:p w14:paraId="37319E48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Ongediertebestrijding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110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0915F34C" w14:textId="77777777" w:rsidTr="002C7A50">
        <w:tc>
          <w:tcPr>
            <w:tcW w:w="4218" w:type="pct"/>
          </w:tcPr>
          <w:p w14:paraId="4BCD6D62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6. Afvalbeheer</w:t>
            </w:r>
          </w:p>
        </w:tc>
        <w:tc>
          <w:tcPr>
            <w:tcW w:w="782" w:type="pct"/>
            <w:vAlign w:val="bottom"/>
          </w:tcPr>
          <w:p w14:paraId="22EA1435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Afvalbeheer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115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08960BD9" w14:textId="77777777" w:rsidTr="002C7A50">
        <w:tc>
          <w:tcPr>
            <w:tcW w:w="4218" w:type="pct"/>
          </w:tcPr>
          <w:p w14:paraId="2A236D5F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7. Reininging en desinfectie</w:t>
            </w:r>
          </w:p>
        </w:tc>
        <w:tc>
          <w:tcPr>
            <w:tcW w:w="782" w:type="pct"/>
            <w:vAlign w:val="bottom"/>
          </w:tcPr>
          <w:p w14:paraId="2C27A948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Reiniging_desinfectie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117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13A3885D" w14:textId="77777777" w:rsidTr="002C7A50">
        <w:tc>
          <w:tcPr>
            <w:tcW w:w="4218" w:type="pct"/>
          </w:tcPr>
          <w:p w14:paraId="7F512B64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8. Hygiëne en gezondheid van het personeel</w:t>
            </w:r>
          </w:p>
        </w:tc>
        <w:tc>
          <w:tcPr>
            <w:tcW w:w="782" w:type="pct"/>
            <w:vAlign w:val="bottom"/>
          </w:tcPr>
          <w:p w14:paraId="67FA97EF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Hygiene_personeel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127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5C7A1DC5" w14:textId="77777777" w:rsidTr="002C7A50">
        <w:tc>
          <w:tcPr>
            <w:tcW w:w="4218" w:type="pct"/>
          </w:tcPr>
          <w:p w14:paraId="03B317C7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9. Opleiding en gedrag van het personneel</w:t>
            </w:r>
          </w:p>
        </w:tc>
        <w:tc>
          <w:tcPr>
            <w:tcW w:w="782" w:type="pct"/>
            <w:vAlign w:val="bottom"/>
          </w:tcPr>
          <w:p w14:paraId="08A3E56B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Opleiding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133</w:t>
            </w:r>
            <w:r>
              <w:rPr>
                <w:noProof/>
                <w:lang w:val="nl-BE"/>
              </w:rPr>
              <w:fldChar w:fldCharType="end"/>
            </w:r>
          </w:p>
          <w:p w14:paraId="12A4EF39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</w:tc>
      </w:tr>
      <w:tr w:rsidR="00FE357E" w:rsidRPr="009C2CE3" w14:paraId="09CDEB96" w14:textId="77777777" w:rsidTr="002C7A50">
        <w:tc>
          <w:tcPr>
            <w:tcW w:w="4218" w:type="pct"/>
            <w:shd w:val="clear" w:color="auto" w:fill="FF9900"/>
          </w:tcPr>
          <w:p w14:paraId="53D4F405" w14:textId="77777777" w:rsidR="00FE357E" w:rsidRPr="00034F8C" w:rsidRDefault="00FE357E" w:rsidP="002C7A50">
            <w:pPr>
              <w:pStyle w:val="normalgauchesansespacement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Hoofstuk 4 : De goede productiepraktijken</w:t>
            </w:r>
          </w:p>
        </w:tc>
        <w:tc>
          <w:tcPr>
            <w:tcW w:w="782" w:type="pct"/>
            <w:shd w:val="clear" w:color="auto" w:fill="FF9900"/>
            <w:vAlign w:val="bottom"/>
          </w:tcPr>
          <w:p w14:paraId="2BA23B69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Hoofdstuk_vier_GPP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136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08BDFFCA" w14:textId="77777777" w:rsidTr="002C7A50">
        <w:tc>
          <w:tcPr>
            <w:tcW w:w="4218" w:type="pct"/>
          </w:tcPr>
          <w:p w14:paraId="3BD39510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1. Aankoop van goederen</w:t>
            </w:r>
          </w:p>
        </w:tc>
        <w:tc>
          <w:tcPr>
            <w:tcW w:w="782" w:type="pct"/>
            <w:vAlign w:val="bottom"/>
          </w:tcPr>
          <w:p w14:paraId="3F0A49CC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Aankoop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138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6F6FD091" w14:textId="77777777" w:rsidTr="002C7A50">
        <w:tc>
          <w:tcPr>
            <w:tcW w:w="4218" w:type="pct"/>
          </w:tcPr>
          <w:p w14:paraId="7C0A9257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2. Ontvangst</w:t>
            </w:r>
          </w:p>
        </w:tc>
        <w:tc>
          <w:tcPr>
            <w:tcW w:w="782" w:type="pct"/>
            <w:vAlign w:val="bottom"/>
          </w:tcPr>
          <w:p w14:paraId="3C9D0905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Ontvangst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145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61C2AE80" w14:textId="77777777" w:rsidTr="002C7A50">
        <w:tc>
          <w:tcPr>
            <w:tcW w:w="4218" w:type="pct"/>
          </w:tcPr>
          <w:p w14:paraId="2FA13D05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3. Opslag en quarantaine van producten</w:t>
            </w:r>
          </w:p>
        </w:tc>
        <w:tc>
          <w:tcPr>
            <w:tcW w:w="782" w:type="pct"/>
            <w:vAlign w:val="bottom"/>
          </w:tcPr>
          <w:p w14:paraId="57AEA37C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Opslag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149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29F4D85B" w14:textId="77777777" w:rsidTr="002C7A50">
        <w:tc>
          <w:tcPr>
            <w:tcW w:w="4218" w:type="pct"/>
          </w:tcPr>
          <w:p w14:paraId="04AD5845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4. Productie van water, sappen, nectar en frisdranken</w:t>
            </w:r>
          </w:p>
        </w:tc>
        <w:tc>
          <w:tcPr>
            <w:tcW w:w="782" w:type="pct"/>
            <w:vAlign w:val="bottom"/>
          </w:tcPr>
          <w:p w14:paraId="091FF489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Productie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153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3BDEFD2D" w14:textId="77777777" w:rsidTr="002C7A50">
        <w:tc>
          <w:tcPr>
            <w:tcW w:w="4218" w:type="pct"/>
          </w:tcPr>
          <w:p w14:paraId="311CD175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5. Onmi</w:t>
            </w:r>
            <w:r>
              <w:rPr>
                <w:noProof/>
                <w:lang w:val="nl-BE"/>
              </w:rPr>
              <w:t>d</w:t>
            </w:r>
            <w:r w:rsidRPr="00034F8C">
              <w:rPr>
                <w:noProof/>
                <w:lang w:val="nl-BE"/>
              </w:rPr>
              <w:t>dellijke verpakk</w:t>
            </w:r>
            <w:r>
              <w:rPr>
                <w:noProof/>
                <w:lang w:val="nl-BE"/>
              </w:rPr>
              <w:t>i</w:t>
            </w:r>
            <w:r w:rsidRPr="00034F8C">
              <w:rPr>
                <w:noProof/>
                <w:lang w:val="nl-BE"/>
              </w:rPr>
              <w:t>ng en omverpakking</w:t>
            </w:r>
          </w:p>
        </w:tc>
        <w:tc>
          <w:tcPr>
            <w:tcW w:w="782" w:type="pct"/>
            <w:vAlign w:val="bottom"/>
          </w:tcPr>
          <w:p w14:paraId="399C4A66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Onmidddellijke_verpakking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163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2E65F757" w14:textId="77777777" w:rsidTr="002C7A50">
        <w:tc>
          <w:tcPr>
            <w:tcW w:w="4218" w:type="pct"/>
          </w:tcPr>
          <w:p w14:paraId="74A3842E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6. Etikettering van dranken</w:t>
            </w:r>
          </w:p>
        </w:tc>
        <w:tc>
          <w:tcPr>
            <w:tcW w:w="782" w:type="pct"/>
            <w:vAlign w:val="bottom"/>
          </w:tcPr>
          <w:p w14:paraId="4012DAF0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Etikettering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167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40CCE31B" w14:textId="77777777" w:rsidTr="002C7A50">
        <w:tc>
          <w:tcPr>
            <w:tcW w:w="4218" w:type="pct"/>
          </w:tcPr>
          <w:p w14:paraId="18CE8964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7. Transport</w:t>
            </w:r>
          </w:p>
        </w:tc>
        <w:tc>
          <w:tcPr>
            <w:tcW w:w="782" w:type="pct"/>
            <w:vAlign w:val="bottom"/>
          </w:tcPr>
          <w:p w14:paraId="4679916D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Transport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183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3C3CEBD6" w14:textId="77777777" w:rsidTr="002C7A50">
        <w:tc>
          <w:tcPr>
            <w:tcW w:w="4218" w:type="pct"/>
          </w:tcPr>
          <w:p w14:paraId="0F315ADA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 xml:space="preserve">8. </w:t>
            </w:r>
            <w:r>
              <w:rPr>
                <w:noProof/>
                <w:lang w:val="nl-BE"/>
              </w:rPr>
              <w:t>Automatische verdeling van dranken</w:t>
            </w:r>
          </w:p>
        </w:tc>
        <w:tc>
          <w:tcPr>
            <w:tcW w:w="782" w:type="pct"/>
            <w:vAlign w:val="bottom"/>
          </w:tcPr>
          <w:p w14:paraId="73772114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Automatische_verdeling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187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48F44CDF" w14:textId="77777777" w:rsidTr="002C7A50">
        <w:tc>
          <w:tcPr>
            <w:tcW w:w="4218" w:type="pct"/>
          </w:tcPr>
          <w:p w14:paraId="0830360E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9. Productie van sappen op basis van vruchten en groenten</w:t>
            </w:r>
          </w:p>
        </w:tc>
        <w:tc>
          <w:tcPr>
            <w:tcW w:w="782" w:type="pct"/>
            <w:vAlign w:val="bottom"/>
          </w:tcPr>
          <w:p w14:paraId="3C966B3D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Productie_sappen_vruchten_groenten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191</w:t>
            </w:r>
            <w:r>
              <w:rPr>
                <w:noProof/>
                <w:lang w:val="nl-BE"/>
              </w:rPr>
              <w:fldChar w:fldCharType="end"/>
            </w:r>
          </w:p>
          <w:p w14:paraId="719CC6D1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  <w:p w14:paraId="268440F4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  <w:p w14:paraId="3ABCA263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  <w:p w14:paraId="71AE9052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  <w:p w14:paraId="50E38A41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  <w:p w14:paraId="443BD22E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  <w:p w14:paraId="45FAFE23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</w:tc>
      </w:tr>
      <w:tr w:rsidR="00FE357E" w:rsidRPr="009C2CE3" w14:paraId="39821485" w14:textId="77777777" w:rsidTr="002C7A50">
        <w:tc>
          <w:tcPr>
            <w:tcW w:w="4218" w:type="pct"/>
            <w:shd w:val="clear" w:color="auto" w:fill="FF9900"/>
          </w:tcPr>
          <w:p w14:paraId="5F35DDC7" w14:textId="77777777" w:rsidR="00FE357E" w:rsidRPr="00034F8C" w:rsidRDefault="00FE357E" w:rsidP="002C7A50">
            <w:pPr>
              <w:pStyle w:val="normalgauchesansespacement"/>
              <w:rPr>
                <w:noProof/>
                <w:lang w:val="nl-BE"/>
              </w:rPr>
            </w:pPr>
            <w:r w:rsidRPr="00034F8C">
              <w:rPr>
                <w:noProof/>
                <w:szCs w:val="24"/>
                <w:lang w:val="nl-BE"/>
              </w:rPr>
              <w:lastRenderedPageBreak/>
              <w:t xml:space="preserve">Hoofdstuk </w:t>
            </w:r>
            <w:r w:rsidRPr="00034F8C">
              <w:rPr>
                <w:noProof/>
                <w:lang w:val="nl-BE"/>
              </w:rPr>
              <w:t>5 : HACCP</w:t>
            </w:r>
          </w:p>
        </w:tc>
        <w:tc>
          <w:tcPr>
            <w:tcW w:w="782" w:type="pct"/>
            <w:shd w:val="clear" w:color="auto" w:fill="FF9900"/>
            <w:vAlign w:val="bottom"/>
          </w:tcPr>
          <w:p w14:paraId="308A022C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Hoofdstuk_vijf_HACCP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198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29287FAA" w14:textId="77777777" w:rsidTr="002C7A50">
        <w:tc>
          <w:tcPr>
            <w:tcW w:w="4218" w:type="pct"/>
          </w:tcPr>
          <w:p w14:paraId="4E5A178B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1. HACCP: een middel om u te helpen de gevaren te beheersen</w:t>
            </w:r>
          </w:p>
        </w:tc>
        <w:tc>
          <w:tcPr>
            <w:tcW w:w="782" w:type="pct"/>
            <w:vAlign w:val="bottom"/>
          </w:tcPr>
          <w:p w14:paraId="7146188B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HACCP_een_middel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198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5DD4B9B4" w14:textId="77777777" w:rsidTr="002C7A50">
        <w:tc>
          <w:tcPr>
            <w:tcW w:w="4218" w:type="pct"/>
          </w:tcPr>
          <w:p w14:paraId="11B65748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2. Uitvoeren van een HACCP-studie</w:t>
            </w:r>
          </w:p>
        </w:tc>
        <w:tc>
          <w:tcPr>
            <w:tcW w:w="782" w:type="pct"/>
            <w:vAlign w:val="bottom"/>
          </w:tcPr>
          <w:p w14:paraId="1B3F1351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Uitvoeren_haccp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201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0064DDC3" w14:textId="77777777" w:rsidTr="002C7A50">
        <w:tc>
          <w:tcPr>
            <w:tcW w:w="4218" w:type="pct"/>
          </w:tcPr>
          <w:p w14:paraId="44E51FD5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3. Voorbeelden van HACCP-</w:t>
            </w:r>
            <w:r>
              <w:rPr>
                <w:noProof/>
                <w:lang w:val="nl-BE"/>
              </w:rPr>
              <w:t>studies</w:t>
            </w:r>
          </w:p>
        </w:tc>
        <w:tc>
          <w:tcPr>
            <w:tcW w:w="782" w:type="pct"/>
            <w:vAlign w:val="bottom"/>
          </w:tcPr>
          <w:p w14:paraId="2503085F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Voorbeeld_HACCP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267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4FDD4108" w14:textId="77777777" w:rsidTr="002C7A50">
        <w:tc>
          <w:tcPr>
            <w:tcW w:w="4218" w:type="pct"/>
          </w:tcPr>
          <w:p w14:paraId="389C2CA0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4. De kritische punten voor de vestigingseenheden die in aanmerking komen voor de versoepelingen m.b.t. autocontrole</w:t>
            </w:r>
          </w:p>
        </w:tc>
        <w:tc>
          <w:tcPr>
            <w:tcW w:w="782" w:type="pct"/>
            <w:vAlign w:val="bottom"/>
          </w:tcPr>
          <w:p w14:paraId="5A68C519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CCP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390</w:t>
            </w:r>
            <w:r>
              <w:rPr>
                <w:noProof/>
                <w:lang w:val="nl-BE"/>
              </w:rPr>
              <w:fldChar w:fldCharType="end"/>
            </w:r>
          </w:p>
          <w:p w14:paraId="005E498C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  <w:p w14:paraId="3C381DD5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</w:tc>
      </w:tr>
      <w:tr w:rsidR="00FE357E" w:rsidRPr="009C2CE3" w14:paraId="531BCA17" w14:textId="77777777" w:rsidTr="002C7A50">
        <w:tc>
          <w:tcPr>
            <w:tcW w:w="4218" w:type="pct"/>
            <w:shd w:val="clear" w:color="auto" w:fill="FF9900"/>
          </w:tcPr>
          <w:p w14:paraId="7614B129" w14:textId="77777777" w:rsidR="00FE357E" w:rsidRPr="00034F8C" w:rsidRDefault="00FE357E" w:rsidP="002C7A50">
            <w:pPr>
              <w:pStyle w:val="normalgauchesansespacement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Hoofdstuk 6 : Traceerbaarheid en beheer van de incidenten</w:t>
            </w:r>
          </w:p>
        </w:tc>
        <w:tc>
          <w:tcPr>
            <w:tcW w:w="782" w:type="pct"/>
            <w:shd w:val="clear" w:color="auto" w:fill="FF9900"/>
            <w:vAlign w:val="bottom"/>
          </w:tcPr>
          <w:p w14:paraId="12DD6942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Hoofdstuk_6_Traceerbaarheid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404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3CCF8ED8" w14:textId="77777777" w:rsidTr="002C7A50">
        <w:tc>
          <w:tcPr>
            <w:tcW w:w="4218" w:type="pct"/>
          </w:tcPr>
          <w:p w14:paraId="6C24A846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1. Traceerbaarheid in de drankensector</w:t>
            </w:r>
          </w:p>
        </w:tc>
        <w:tc>
          <w:tcPr>
            <w:tcW w:w="782" w:type="pct"/>
            <w:vAlign w:val="bottom"/>
          </w:tcPr>
          <w:p w14:paraId="5558700D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Traceerbaarheid_dranksector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404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2EF79BE4" w14:textId="77777777" w:rsidTr="002C7A50">
        <w:tc>
          <w:tcPr>
            <w:tcW w:w="4218" w:type="pct"/>
          </w:tcPr>
          <w:p w14:paraId="01A7D26F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2. De meldingsplicht en het beheer van de terugtrekkingen</w:t>
            </w:r>
          </w:p>
        </w:tc>
        <w:tc>
          <w:tcPr>
            <w:tcW w:w="782" w:type="pct"/>
            <w:vAlign w:val="bottom"/>
          </w:tcPr>
          <w:p w14:paraId="1E409743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411</w:t>
            </w:r>
          </w:p>
        </w:tc>
      </w:tr>
      <w:tr w:rsidR="00FE357E" w:rsidRPr="009C2CE3" w14:paraId="171AD641" w14:textId="77777777" w:rsidTr="002C7A50">
        <w:tc>
          <w:tcPr>
            <w:tcW w:w="4218" w:type="pct"/>
          </w:tcPr>
          <w:p w14:paraId="6C2441CB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</w:p>
        </w:tc>
        <w:tc>
          <w:tcPr>
            <w:tcW w:w="782" w:type="pct"/>
            <w:vAlign w:val="bottom"/>
          </w:tcPr>
          <w:p w14:paraId="45FD07A3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</w:tc>
      </w:tr>
      <w:tr w:rsidR="00FE357E" w:rsidRPr="009C2CE3" w14:paraId="4009D14E" w14:textId="77777777" w:rsidTr="002C7A50">
        <w:tc>
          <w:tcPr>
            <w:tcW w:w="4218" w:type="pct"/>
            <w:shd w:val="clear" w:color="auto" w:fill="FF9900"/>
          </w:tcPr>
          <w:p w14:paraId="7B9A2D83" w14:textId="77777777" w:rsidR="00FE357E" w:rsidRPr="00034F8C" w:rsidRDefault="00FE357E" w:rsidP="002C7A50">
            <w:pPr>
              <w:pStyle w:val="normalgauchesansespacement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Hoofdstuk 7 : Productanalyse</w:t>
            </w:r>
          </w:p>
        </w:tc>
        <w:tc>
          <w:tcPr>
            <w:tcW w:w="782" w:type="pct"/>
            <w:shd w:val="clear" w:color="auto" w:fill="FF9900"/>
            <w:vAlign w:val="bottom"/>
          </w:tcPr>
          <w:p w14:paraId="64D0F9BE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Hoofdstuk_7_productanalyse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420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71394476" w14:textId="77777777" w:rsidTr="002C7A50">
        <w:tc>
          <w:tcPr>
            <w:tcW w:w="4218" w:type="pct"/>
            <w:shd w:val="clear" w:color="auto" w:fill="auto"/>
          </w:tcPr>
          <w:p w14:paraId="53AF6AA9" w14:textId="77777777" w:rsidR="00FE357E" w:rsidRPr="00034F8C" w:rsidRDefault="00FE357E" w:rsidP="002C7A50">
            <w:pPr>
              <w:pStyle w:val="normalgauchesansespacement"/>
              <w:rPr>
                <w:noProof/>
                <w:lang w:val="nl-BE"/>
              </w:rPr>
            </w:pPr>
          </w:p>
        </w:tc>
        <w:tc>
          <w:tcPr>
            <w:tcW w:w="782" w:type="pct"/>
            <w:shd w:val="clear" w:color="auto" w:fill="auto"/>
            <w:vAlign w:val="bottom"/>
          </w:tcPr>
          <w:p w14:paraId="0B9BC09F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</w:tc>
      </w:tr>
      <w:tr w:rsidR="00FE357E" w:rsidRPr="009C2CE3" w14:paraId="65359028" w14:textId="77777777" w:rsidTr="002C7A50">
        <w:tc>
          <w:tcPr>
            <w:tcW w:w="4218" w:type="pct"/>
            <w:shd w:val="clear" w:color="auto" w:fill="FF9900"/>
          </w:tcPr>
          <w:p w14:paraId="3D04659E" w14:textId="77777777" w:rsidR="00FE357E" w:rsidRPr="00034F8C" w:rsidRDefault="00FE357E" w:rsidP="002C7A50">
            <w:pPr>
              <w:pStyle w:val="normalgauchesansespacement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Hoofdstuk 8 : Validatie en controle van uw autocontrolesysteem</w:t>
            </w:r>
          </w:p>
        </w:tc>
        <w:tc>
          <w:tcPr>
            <w:tcW w:w="782" w:type="pct"/>
            <w:shd w:val="clear" w:color="auto" w:fill="FF9900"/>
            <w:vAlign w:val="bottom"/>
          </w:tcPr>
          <w:p w14:paraId="6CBB36E3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Hoofdstuk_8_validatie_ACS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425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1F9E9EDC" w14:textId="77777777" w:rsidTr="002C7A50">
        <w:tc>
          <w:tcPr>
            <w:tcW w:w="4218" w:type="pct"/>
          </w:tcPr>
          <w:p w14:paraId="52E84BBC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1. Het organiseren van controles: wie controleert wat?</w:t>
            </w:r>
          </w:p>
        </w:tc>
        <w:tc>
          <w:tcPr>
            <w:tcW w:w="782" w:type="pct"/>
            <w:vAlign w:val="bottom"/>
          </w:tcPr>
          <w:p w14:paraId="34AE5925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Organiseren_controles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425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280C74CC" w14:textId="77777777" w:rsidTr="002C7A50">
        <w:tc>
          <w:tcPr>
            <w:tcW w:w="4218" w:type="pct"/>
          </w:tcPr>
          <w:p w14:paraId="23411D2A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2. De gids als referentiemiddel</w:t>
            </w:r>
          </w:p>
        </w:tc>
        <w:tc>
          <w:tcPr>
            <w:tcW w:w="782" w:type="pct"/>
            <w:vAlign w:val="bottom"/>
          </w:tcPr>
          <w:p w14:paraId="1408936D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Gids_referentie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426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49087EF5" w14:textId="77777777" w:rsidTr="002C7A50">
        <w:tc>
          <w:tcPr>
            <w:tcW w:w="4218" w:type="pct"/>
          </w:tcPr>
          <w:p w14:paraId="00E9726E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3. De vereisten voor de controle-instellingen</w:t>
            </w:r>
          </w:p>
        </w:tc>
        <w:tc>
          <w:tcPr>
            <w:tcW w:w="782" w:type="pct"/>
            <w:vAlign w:val="bottom"/>
          </w:tcPr>
          <w:p w14:paraId="16D7A1E8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Vereisten_controle_instellingen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426</w:t>
            </w:r>
            <w:r>
              <w:rPr>
                <w:noProof/>
                <w:lang w:val="nl-BE"/>
              </w:rPr>
              <w:fldChar w:fldCharType="end"/>
            </w:r>
          </w:p>
          <w:p w14:paraId="696B00BF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</w:tc>
      </w:tr>
      <w:tr w:rsidR="00FE357E" w:rsidRPr="009C2CE3" w14:paraId="0A05AC4E" w14:textId="77777777" w:rsidTr="002C7A50">
        <w:tc>
          <w:tcPr>
            <w:tcW w:w="4218" w:type="pct"/>
            <w:shd w:val="clear" w:color="auto" w:fill="FF9900"/>
          </w:tcPr>
          <w:p w14:paraId="65FB5DCF" w14:textId="77777777" w:rsidR="00FE357E" w:rsidRPr="00034F8C" w:rsidRDefault="00FE357E" w:rsidP="002C7A50">
            <w:pPr>
              <w:pStyle w:val="normalgauchesansespacement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Bijlagen</w:t>
            </w:r>
          </w:p>
        </w:tc>
        <w:tc>
          <w:tcPr>
            <w:tcW w:w="782" w:type="pct"/>
            <w:shd w:val="clear" w:color="auto" w:fill="FF9900"/>
            <w:vAlign w:val="bottom"/>
          </w:tcPr>
          <w:p w14:paraId="774AC21C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Bijlagen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429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63551D0D" w14:textId="77777777" w:rsidTr="002C7A50">
        <w:tc>
          <w:tcPr>
            <w:tcW w:w="4218" w:type="pct"/>
          </w:tcPr>
          <w:p w14:paraId="16AFD0D4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 xml:space="preserve">1. </w:t>
            </w:r>
            <w:r>
              <w:rPr>
                <w:noProof/>
                <w:lang w:val="nl-BE"/>
              </w:rPr>
              <w:t>Definities</w:t>
            </w:r>
            <w:r w:rsidRPr="00034F8C">
              <w:rPr>
                <w:noProof/>
                <w:lang w:val="nl-BE"/>
              </w:rPr>
              <w:t>, afkortingen en referenties</w:t>
            </w:r>
          </w:p>
        </w:tc>
        <w:tc>
          <w:tcPr>
            <w:tcW w:w="782" w:type="pct"/>
            <w:vAlign w:val="bottom"/>
          </w:tcPr>
          <w:p w14:paraId="71EB1A19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Bijlage_1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430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544D0D2B" w14:textId="77777777" w:rsidTr="002C7A50">
        <w:tc>
          <w:tcPr>
            <w:tcW w:w="4218" w:type="pct"/>
          </w:tcPr>
          <w:p w14:paraId="5348722F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 xml:space="preserve">2. </w:t>
            </w:r>
            <w:r>
              <w:rPr>
                <w:noProof/>
                <w:lang w:val="nl-BE"/>
              </w:rPr>
              <w:t>V</w:t>
            </w:r>
            <w:r w:rsidRPr="00034F8C">
              <w:rPr>
                <w:noProof/>
                <w:lang w:val="nl-BE"/>
              </w:rPr>
              <w:t>oorbeeld</w:t>
            </w:r>
            <w:r>
              <w:rPr>
                <w:noProof/>
                <w:lang w:val="nl-BE"/>
              </w:rPr>
              <w:t>f</w:t>
            </w:r>
            <w:r w:rsidRPr="00034F8C">
              <w:rPr>
                <w:noProof/>
                <w:lang w:val="nl-BE"/>
              </w:rPr>
              <w:t>ormulieren</w:t>
            </w:r>
          </w:p>
        </w:tc>
        <w:tc>
          <w:tcPr>
            <w:tcW w:w="782" w:type="pct"/>
            <w:vAlign w:val="bottom"/>
          </w:tcPr>
          <w:p w14:paraId="1D515596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Bijlage_2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441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56A0C194" w14:textId="77777777" w:rsidTr="002C7A50">
        <w:tc>
          <w:tcPr>
            <w:tcW w:w="4218" w:type="pct"/>
          </w:tcPr>
          <w:p w14:paraId="2AFF14DF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 xml:space="preserve">3. </w:t>
            </w:r>
            <w:r>
              <w:rPr>
                <w:noProof/>
                <w:lang w:val="nl-BE"/>
              </w:rPr>
              <w:t>V</w:t>
            </w:r>
            <w:r w:rsidRPr="00034F8C">
              <w:rPr>
                <w:noProof/>
                <w:lang w:val="nl-BE"/>
              </w:rPr>
              <w:t>oorbeeld</w:t>
            </w:r>
            <w:r>
              <w:rPr>
                <w:noProof/>
                <w:lang w:val="nl-BE"/>
              </w:rPr>
              <w:t>s</w:t>
            </w:r>
            <w:r w:rsidRPr="00034F8C">
              <w:rPr>
                <w:noProof/>
                <w:lang w:val="nl-BE"/>
              </w:rPr>
              <w:t>pecificatie</w:t>
            </w:r>
            <w:r>
              <w:rPr>
                <w:noProof/>
                <w:lang w:val="nl-BE"/>
              </w:rPr>
              <w:t>s</w:t>
            </w:r>
            <w:r w:rsidRPr="00034F8C">
              <w:rPr>
                <w:noProof/>
                <w:lang w:val="nl-BE"/>
              </w:rPr>
              <w:t xml:space="preserve"> </w:t>
            </w:r>
          </w:p>
        </w:tc>
        <w:tc>
          <w:tcPr>
            <w:tcW w:w="782" w:type="pct"/>
            <w:vAlign w:val="bottom"/>
          </w:tcPr>
          <w:p w14:paraId="16D07838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Bijlage_3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458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6068FAE8" w14:textId="77777777" w:rsidTr="002C7A50">
        <w:tc>
          <w:tcPr>
            <w:tcW w:w="4218" w:type="pct"/>
          </w:tcPr>
          <w:p w14:paraId="702F1E4F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>4. Minima</w:t>
            </w:r>
            <w:r>
              <w:rPr>
                <w:noProof/>
                <w:lang w:val="nl-BE"/>
              </w:rPr>
              <w:t>a</w:t>
            </w:r>
            <w:r w:rsidRPr="00034F8C">
              <w:rPr>
                <w:noProof/>
                <w:lang w:val="nl-BE"/>
              </w:rPr>
              <w:t>l analyseplan</w:t>
            </w:r>
          </w:p>
        </w:tc>
        <w:tc>
          <w:tcPr>
            <w:tcW w:w="782" w:type="pct"/>
            <w:vAlign w:val="bottom"/>
          </w:tcPr>
          <w:p w14:paraId="5AAAAAD8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Bijlage_4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464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9C2CE3" w14:paraId="594758C4" w14:textId="77777777" w:rsidTr="002C7A50">
        <w:tc>
          <w:tcPr>
            <w:tcW w:w="4218" w:type="pct"/>
          </w:tcPr>
          <w:p w14:paraId="366E7956" w14:textId="77777777" w:rsidR="00FE357E" w:rsidRPr="00034F8C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034F8C">
              <w:rPr>
                <w:noProof/>
                <w:lang w:val="nl-BE"/>
              </w:rPr>
              <w:t xml:space="preserve">5. </w:t>
            </w:r>
            <w:r>
              <w:rPr>
                <w:noProof/>
                <w:lang w:val="nl-BE"/>
              </w:rPr>
              <w:t>Aanbevelingen voor de pasteurisatie</w:t>
            </w:r>
          </w:p>
        </w:tc>
        <w:tc>
          <w:tcPr>
            <w:tcW w:w="782" w:type="pct"/>
            <w:vAlign w:val="bottom"/>
          </w:tcPr>
          <w:p w14:paraId="4731B707" w14:textId="77777777" w:rsidR="00FE357E" w:rsidRPr="00034F8C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fldChar w:fldCharType="begin"/>
            </w:r>
            <w:r>
              <w:rPr>
                <w:noProof/>
                <w:lang w:val="nl-BE"/>
              </w:rPr>
              <w:instrText xml:space="preserve"> PAGEREF Bijlage_5 \h </w:instrText>
            </w:r>
            <w:r>
              <w:rPr>
                <w:noProof/>
                <w:lang w:val="nl-BE"/>
              </w:rPr>
            </w:r>
            <w:r>
              <w:rPr>
                <w:noProof/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490</w:t>
            </w:r>
            <w:r>
              <w:rPr>
                <w:noProof/>
                <w:lang w:val="nl-BE"/>
              </w:rPr>
              <w:fldChar w:fldCharType="end"/>
            </w:r>
          </w:p>
        </w:tc>
      </w:tr>
      <w:tr w:rsidR="00FE357E" w:rsidRPr="00364372" w14:paraId="4EC87E45" w14:textId="77777777" w:rsidTr="002C7A50">
        <w:tc>
          <w:tcPr>
            <w:tcW w:w="4218" w:type="pct"/>
          </w:tcPr>
          <w:p w14:paraId="21252D26" w14:textId="77777777" w:rsidR="00FE357E" w:rsidRPr="00C32F75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C32F75">
              <w:rPr>
                <w:noProof/>
                <w:lang w:val="nl-BE"/>
              </w:rPr>
              <w:t xml:space="preserve">6. Generiek hoofdstuk voor levensmiddelenfabrikanten: materialen </w:t>
            </w:r>
          </w:p>
          <w:p w14:paraId="2A41CB65" w14:textId="77777777" w:rsidR="00FE357E" w:rsidRPr="00C32F75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C32F75">
              <w:rPr>
                <w:noProof/>
                <w:lang w:val="nl-BE"/>
              </w:rPr>
              <w:t xml:space="preserve">    die met levensmiddelen in contact komen</w:t>
            </w:r>
          </w:p>
        </w:tc>
        <w:tc>
          <w:tcPr>
            <w:tcW w:w="782" w:type="pct"/>
            <w:vAlign w:val="bottom"/>
          </w:tcPr>
          <w:p w14:paraId="3924AB32" w14:textId="77777777" w:rsidR="00FE357E" w:rsidRPr="00C32F75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 w:rsidRPr="00C32F75">
              <w:rPr>
                <w:noProof/>
                <w:lang w:val="nl-BE"/>
              </w:rPr>
              <w:t>498</w:t>
            </w:r>
          </w:p>
        </w:tc>
      </w:tr>
      <w:tr w:rsidR="00FE357E" w:rsidRPr="00364372" w14:paraId="73510AA2" w14:textId="77777777" w:rsidTr="002C7A50">
        <w:tc>
          <w:tcPr>
            <w:tcW w:w="4218" w:type="pct"/>
          </w:tcPr>
          <w:p w14:paraId="7CA1067D" w14:textId="77777777" w:rsidR="00FE357E" w:rsidRPr="00C32F75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C32F75">
              <w:rPr>
                <w:noProof/>
                <w:lang w:val="nl-BE"/>
              </w:rPr>
              <w:t>7. Aanvullend hoofdstuk voor de autocontrolegidsen – Gebruik van</w:t>
            </w:r>
          </w:p>
          <w:p w14:paraId="4882D90E" w14:textId="77777777" w:rsidR="00FE357E" w:rsidRPr="00C32F75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C32F75">
              <w:rPr>
                <w:noProof/>
                <w:lang w:val="nl-BE"/>
              </w:rPr>
              <w:t xml:space="preserve">    technische hulpstoffen in de gevarenanalyse bij de productie van </w:t>
            </w:r>
          </w:p>
          <w:p w14:paraId="5ECDBA70" w14:textId="77777777" w:rsidR="00FE357E" w:rsidRPr="00C32F75" w:rsidRDefault="00FE357E" w:rsidP="002C7A50">
            <w:pPr>
              <w:pStyle w:val="normalgauchesansespacement"/>
              <w:ind w:left="180"/>
              <w:rPr>
                <w:noProof/>
                <w:lang w:val="nl-BE"/>
              </w:rPr>
            </w:pPr>
            <w:r w:rsidRPr="00C32F75">
              <w:rPr>
                <w:noProof/>
                <w:lang w:val="nl-BE"/>
              </w:rPr>
              <w:t xml:space="preserve">    levensmiddelen</w:t>
            </w:r>
          </w:p>
        </w:tc>
        <w:tc>
          <w:tcPr>
            <w:tcW w:w="782" w:type="pct"/>
            <w:vAlign w:val="bottom"/>
          </w:tcPr>
          <w:p w14:paraId="1576380D" w14:textId="77777777" w:rsidR="00FE357E" w:rsidRPr="00C32F75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  <w:r w:rsidRPr="00C32F75">
              <w:rPr>
                <w:noProof/>
                <w:lang w:val="nl-BE"/>
              </w:rPr>
              <w:t>499</w:t>
            </w:r>
          </w:p>
        </w:tc>
      </w:tr>
      <w:tr w:rsidR="00FE357E" w:rsidRPr="00C50427" w14:paraId="68DF0C41" w14:textId="77777777" w:rsidTr="002C7A50">
        <w:tc>
          <w:tcPr>
            <w:tcW w:w="4218" w:type="pct"/>
          </w:tcPr>
          <w:p w14:paraId="0711E6BC" w14:textId="77777777" w:rsidR="00FE357E" w:rsidRPr="00034F8C" w:rsidRDefault="00FE357E" w:rsidP="002C7A50">
            <w:pPr>
              <w:pStyle w:val="normalgauchesansespacement"/>
              <w:rPr>
                <w:noProof/>
                <w:lang w:val="nl-BE"/>
              </w:rPr>
            </w:pPr>
          </w:p>
        </w:tc>
        <w:tc>
          <w:tcPr>
            <w:tcW w:w="782" w:type="pct"/>
            <w:vAlign w:val="bottom"/>
          </w:tcPr>
          <w:p w14:paraId="54CD73C4" w14:textId="77777777" w:rsidR="00FE357E" w:rsidRDefault="00FE357E" w:rsidP="002C7A50">
            <w:pPr>
              <w:pStyle w:val="normalgauchesansespacement"/>
              <w:jc w:val="right"/>
              <w:rPr>
                <w:noProof/>
                <w:lang w:val="nl-BE"/>
              </w:rPr>
            </w:pPr>
          </w:p>
        </w:tc>
      </w:tr>
    </w:tbl>
    <w:p w14:paraId="4FE60296" w14:textId="77777777" w:rsidR="00072C76" w:rsidRDefault="00B234D2"/>
    <w:sectPr w:rsidR="00072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7E"/>
    <w:rsid w:val="00142729"/>
    <w:rsid w:val="00A36F67"/>
    <w:rsid w:val="00B234D2"/>
    <w:rsid w:val="00FC1280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8E4DE"/>
  <w15:chartTrackingRefBased/>
  <w15:docId w15:val="{AC8AF474-5FE3-4392-8BA5-942A4794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7E"/>
    <w:pPr>
      <w:spacing w:before="60" w:after="60" w:line="240" w:lineRule="auto"/>
      <w:jc w:val="both"/>
    </w:pPr>
    <w:rPr>
      <w:rFonts w:ascii="Arial" w:eastAsia="Times New Roman" w:hAnsi="Arial" w:cs="Times New Roman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gauchesansespacementCar">
    <w:name w:val="normal gauche sans espacement Car"/>
    <w:basedOn w:val="DefaultParagraphFont"/>
    <w:link w:val="normalgauchesansespacement"/>
    <w:rsid w:val="00FE357E"/>
    <w:rPr>
      <w:rFonts w:ascii="Arial" w:hAnsi="Arial"/>
      <w:sz w:val="24"/>
      <w:lang w:val="fr-FR" w:eastAsia="fr-FR"/>
    </w:rPr>
  </w:style>
  <w:style w:type="paragraph" w:customStyle="1" w:styleId="normalgauchesansespacement">
    <w:name w:val="normal gauche sans espacement"/>
    <w:basedOn w:val="Normal"/>
    <w:link w:val="normalgauchesansespacementCar"/>
    <w:qFormat/>
    <w:rsid w:val="00FE357E"/>
    <w:pPr>
      <w:spacing w:before="0" w:after="0"/>
    </w:pPr>
    <w:rPr>
      <w:rFonts w:eastAsiaTheme="minorHAnsi" w:cstheme="minorBidi"/>
      <w:sz w:val="24"/>
      <w:szCs w:val="22"/>
    </w:rPr>
  </w:style>
  <w:style w:type="paragraph" w:customStyle="1" w:styleId="tabledesmatires">
    <w:name w:val="table des matières"/>
    <w:basedOn w:val="Normal"/>
    <w:uiPriority w:val="34"/>
    <w:qFormat/>
    <w:rsid w:val="00FE357E"/>
    <w:pPr>
      <w:jc w:val="center"/>
    </w:pPr>
    <w:rPr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29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29"/>
    <w:rPr>
      <w:rFonts w:ascii="Times New Roman" w:eastAsia="Times New Roman" w:hAnsi="Times New Roman" w:cs="Times New Roman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4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Marquenie</dc:creator>
  <cp:keywords/>
  <dc:description/>
  <cp:lastModifiedBy>An-Sofie Deprez</cp:lastModifiedBy>
  <cp:revision>2</cp:revision>
  <cp:lastPrinted>2020-03-11T03:07:00Z</cp:lastPrinted>
  <dcterms:created xsi:type="dcterms:W3CDTF">2020-03-11T08:29:00Z</dcterms:created>
  <dcterms:modified xsi:type="dcterms:W3CDTF">2020-03-11T08:29:00Z</dcterms:modified>
</cp:coreProperties>
</file>